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D53DB">
      <w:pPr>
        <w:pStyle w:val="3"/>
        <w:jc w:val="center"/>
        <w:rPr>
          <w:rFonts w:cs="Times New Roman" w:asciiTheme="majorEastAsia" w:hAnsiTheme="majorEastAsia" w:eastAsiaTheme="majorEastAsia"/>
        </w:rPr>
      </w:pPr>
      <w:bookmarkStart w:id="0" w:name="_Toc190783641"/>
      <w:bookmarkStart w:id="1" w:name="_GoBack"/>
      <w:bookmarkEnd w:id="1"/>
      <w:r>
        <w:rPr>
          <w:rFonts w:hint="eastAsia" w:cs="Times New Roman" w:asciiTheme="majorEastAsia" w:hAnsiTheme="majorEastAsia" w:eastAsiaTheme="majorEastAsia"/>
        </w:rPr>
        <w:t>自身抗体入体检必要性</w:t>
      </w:r>
    </w:p>
    <w:p w14:paraId="5CB7441D">
      <w:pPr>
        <w:adjustRightInd/>
        <w:snapToGrid/>
        <w:spacing w:line="360" w:lineRule="auto"/>
        <w:ind w:firstLine="456" w:firstLineChars="190"/>
        <w:rPr>
          <w:rFonts w:asciiTheme="minorEastAsia" w:hAnsiTheme="minorEastAsia" w:eastAsiaTheme="minorEastAsia"/>
          <w:sz w:val="24"/>
          <w:szCs w:val="32"/>
        </w:rPr>
      </w:pPr>
      <w:r>
        <w:rPr>
          <w:rFonts w:asciiTheme="minorEastAsia" w:hAnsiTheme="minorEastAsia" w:eastAsiaTheme="minorEastAsia"/>
          <w:sz w:val="24"/>
          <w:szCs w:val="32"/>
        </w:rPr>
        <w:t>随着临床对自身免疫病认识提高，临床发现并确诊的自身免疫病患者越来越多。自身抗体检测在自身免疫病的诊治中非常重要，对于自身免疫病的诊断与鉴别诊断，病情评估与治疗监测，病程转归与预后判断以及疾病预警都有重要价值。</w:t>
      </w:r>
    </w:p>
    <w:p w14:paraId="301D6E4F">
      <w:pPr>
        <w:adjustRightInd/>
        <w:snapToGrid/>
        <w:spacing w:line="360" w:lineRule="auto"/>
        <w:ind w:firstLine="456" w:firstLineChars="190"/>
        <w:rPr>
          <w:rFonts w:asciiTheme="minorEastAsia" w:hAnsiTheme="minorEastAsia" w:eastAsiaTheme="minorEastAsia"/>
          <w:sz w:val="24"/>
          <w:szCs w:val="32"/>
        </w:rPr>
      </w:pPr>
      <w:r>
        <w:rPr>
          <w:rFonts w:asciiTheme="minorEastAsia" w:hAnsiTheme="minorEastAsia" w:eastAsiaTheme="minorEastAsia"/>
          <w:sz w:val="24"/>
          <w:szCs w:val="32"/>
        </w:rPr>
        <w:t>多种自身免疫病患者体内，自身抗体的出现往往早于患者临床症状的出现，如</w:t>
      </w:r>
      <w:r>
        <w:rPr>
          <w:rFonts w:hint="eastAsia" w:asciiTheme="minorEastAsia" w:hAnsiTheme="minorEastAsia" w:eastAsiaTheme="minorEastAsia"/>
          <w:sz w:val="24"/>
          <w:szCs w:val="32"/>
        </w:rPr>
        <w:t>PBC</w:t>
      </w:r>
      <w:r>
        <w:rPr>
          <w:rFonts w:asciiTheme="minorEastAsia" w:hAnsiTheme="minorEastAsia" w:eastAsiaTheme="minorEastAsia"/>
          <w:sz w:val="24"/>
          <w:szCs w:val="32"/>
        </w:rPr>
        <w:t>患者体内的</w:t>
      </w:r>
      <w:r>
        <w:rPr>
          <w:rFonts w:hint="eastAsia" w:asciiTheme="minorEastAsia" w:hAnsiTheme="minorEastAsia" w:eastAsiaTheme="minorEastAsia"/>
          <w:sz w:val="24"/>
          <w:szCs w:val="32"/>
        </w:rPr>
        <w:t>AMA-M2</w:t>
      </w:r>
      <w:r>
        <w:rPr>
          <w:rFonts w:asciiTheme="minorEastAsia" w:hAnsiTheme="minorEastAsia" w:eastAsiaTheme="minorEastAsia"/>
          <w:sz w:val="24"/>
          <w:szCs w:val="32"/>
        </w:rPr>
        <w:t>可以在患者任何临床症状或其他实验室检测指标异常</w:t>
      </w:r>
      <w:r>
        <w:rPr>
          <w:rFonts w:asciiTheme="minorEastAsia" w:hAnsiTheme="minorEastAsia" w:eastAsiaTheme="minorEastAsia"/>
          <w:b/>
          <w:bCs/>
          <w:sz w:val="24"/>
          <w:szCs w:val="32"/>
        </w:rPr>
        <w:t>前</w:t>
      </w:r>
      <w:r>
        <w:rPr>
          <w:rFonts w:hint="eastAsia" w:asciiTheme="minorEastAsia" w:hAnsiTheme="minorEastAsia" w:eastAsiaTheme="minorEastAsia"/>
          <w:b/>
          <w:bCs/>
          <w:sz w:val="24"/>
          <w:szCs w:val="32"/>
        </w:rPr>
        <w:t>10</w:t>
      </w:r>
      <w:r>
        <w:rPr>
          <w:rFonts w:asciiTheme="minorEastAsia" w:hAnsiTheme="minorEastAsia" w:eastAsiaTheme="minorEastAsia"/>
          <w:b/>
          <w:bCs/>
          <w:sz w:val="24"/>
          <w:szCs w:val="32"/>
        </w:rPr>
        <w:t>年</w:t>
      </w:r>
      <w:r>
        <w:rPr>
          <w:rFonts w:asciiTheme="minorEastAsia" w:hAnsiTheme="minorEastAsia" w:eastAsiaTheme="minorEastAsia"/>
          <w:sz w:val="24"/>
          <w:szCs w:val="32"/>
        </w:rPr>
        <w:t>出现，</w:t>
      </w:r>
      <w:r>
        <w:rPr>
          <w:rFonts w:hint="eastAsia" w:asciiTheme="minorEastAsia" w:hAnsiTheme="minorEastAsia" w:eastAsiaTheme="minorEastAsia"/>
          <w:sz w:val="24"/>
          <w:szCs w:val="32"/>
        </w:rPr>
        <w:t>SLE</w:t>
      </w:r>
      <w:r>
        <w:rPr>
          <w:rFonts w:asciiTheme="minorEastAsia" w:hAnsiTheme="minorEastAsia" w:eastAsiaTheme="minorEastAsia"/>
          <w:sz w:val="24"/>
          <w:szCs w:val="32"/>
        </w:rPr>
        <w:t xml:space="preserve"> 相关自身抗体可以在</w:t>
      </w:r>
      <w:r>
        <w:rPr>
          <w:rFonts w:hint="eastAsia" w:asciiTheme="minorEastAsia" w:hAnsiTheme="minorEastAsia" w:eastAsiaTheme="minorEastAsia"/>
          <w:sz w:val="24"/>
          <w:szCs w:val="32"/>
        </w:rPr>
        <w:t>SLE</w:t>
      </w:r>
      <w:r>
        <w:rPr>
          <w:rFonts w:asciiTheme="minorEastAsia" w:hAnsiTheme="minorEastAsia" w:eastAsiaTheme="minorEastAsia"/>
          <w:sz w:val="24"/>
          <w:szCs w:val="32"/>
        </w:rPr>
        <w:t>患者出现临床症状</w:t>
      </w:r>
      <w:r>
        <w:rPr>
          <w:rFonts w:asciiTheme="minorEastAsia" w:hAnsiTheme="minorEastAsia" w:eastAsiaTheme="minorEastAsia"/>
          <w:b/>
          <w:bCs/>
          <w:sz w:val="24"/>
          <w:szCs w:val="32"/>
        </w:rPr>
        <w:t>前平均</w:t>
      </w:r>
      <w:r>
        <w:rPr>
          <w:rFonts w:hint="eastAsia" w:asciiTheme="minorEastAsia" w:hAnsiTheme="minorEastAsia" w:eastAsiaTheme="minorEastAsia"/>
          <w:b/>
          <w:bCs/>
          <w:sz w:val="24"/>
          <w:szCs w:val="32"/>
        </w:rPr>
        <w:t>9.4</w:t>
      </w:r>
      <w:r>
        <w:rPr>
          <w:rFonts w:asciiTheme="minorEastAsia" w:hAnsiTheme="minorEastAsia" w:eastAsiaTheme="minorEastAsia"/>
          <w:b/>
          <w:bCs/>
          <w:sz w:val="24"/>
          <w:szCs w:val="32"/>
        </w:rPr>
        <w:t>年</w:t>
      </w:r>
      <w:r>
        <w:rPr>
          <w:rFonts w:asciiTheme="minorEastAsia" w:hAnsiTheme="minorEastAsia" w:eastAsiaTheme="minorEastAsia"/>
          <w:sz w:val="24"/>
          <w:szCs w:val="32"/>
        </w:rPr>
        <w:t>检测到，</w:t>
      </w:r>
      <w:r>
        <w:rPr>
          <w:rFonts w:hint="eastAsia" w:asciiTheme="minorEastAsia" w:hAnsiTheme="minorEastAsia" w:eastAsiaTheme="minorEastAsia"/>
          <w:sz w:val="24"/>
          <w:szCs w:val="32"/>
        </w:rPr>
        <w:t>RA</w:t>
      </w:r>
      <w:r>
        <w:rPr>
          <w:rFonts w:asciiTheme="minorEastAsia" w:hAnsiTheme="minorEastAsia" w:eastAsiaTheme="minorEastAsia"/>
          <w:sz w:val="24"/>
          <w:szCs w:val="32"/>
        </w:rPr>
        <w:t>相关抗</w:t>
      </w:r>
      <w:r>
        <w:rPr>
          <w:rFonts w:hint="eastAsia" w:asciiTheme="minorEastAsia" w:hAnsiTheme="minorEastAsia" w:eastAsiaTheme="minorEastAsia"/>
          <w:sz w:val="24"/>
          <w:szCs w:val="32"/>
        </w:rPr>
        <w:t>CCP</w:t>
      </w:r>
      <w:r>
        <w:rPr>
          <w:rFonts w:asciiTheme="minorEastAsia" w:hAnsiTheme="minorEastAsia" w:eastAsiaTheme="minorEastAsia"/>
          <w:sz w:val="24"/>
          <w:szCs w:val="32"/>
        </w:rPr>
        <w:t>抗体可以在</w:t>
      </w:r>
      <w:r>
        <w:rPr>
          <w:rFonts w:hint="eastAsia" w:asciiTheme="minorEastAsia" w:hAnsiTheme="minorEastAsia" w:eastAsiaTheme="minorEastAsia"/>
          <w:sz w:val="24"/>
          <w:szCs w:val="32"/>
        </w:rPr>
        <w:t>RA</w:t>
      </w:r>
      <w:r>
        <w:rPr>
          <w:rFonts w:asciiTheme="minorEastAsia" w:hAnsiTheme="minorEastAsia" w:eastAsiaTheme="minorEastAsia"/>
          <w:sz w:val="24"/>
          <w:szCs w:val="32"/>
        </w:rPr>
        <w:t>患者出现临床症状</w:t>
      </w:r>
      <w:r>
        <w:rPr>
          <w:rFonts w:asciiTheme="minorEastAsia" w:hAnsiTheme="minorEastAsia" w:eastAsiaTheme="minorEastAsia"/>
          <w:b/>
          <w:bCs/>
          <w:sz w:val="24"/>
          <w:szCs w:val="32"/>
        </w:rPr>
        <w:t>前平均</w:t>
      </w:r>
      <w:r>
        <w:rPr>
          <w:rFonts w:hint="eastAsia" w:asciiTheme="minorEastAsia" w:hAnsiTheme="minorEastAsia" w:eastAsiaTheme="minorEastAsia"/>
          <w:b/>
          <w:bCs/>
          <w:sz w:val="24"/>
          <w:szCs w:val="32"/>
        </w:rPr>
        <w:t>4.5</w:t>
      </w:r>
      <w:r>
        <w:rPr>
          <w:rFonts w:asciiTheme="minorEastAsia" w:hAnsiTheme="minorEastAsia" w:eastAsiaTheme="minorEastAsia"/>
          <w:b/>
          <w:bCs/>
          <w:sz w:val="24"/>
          <w:szCs w:val="32"/>
        </w:rPr>
        <w:t>年</w:t>
      </w:r>
      <w:r>
        <w:rPr>
          <w:rFonts w:asciiTheme="minorEastAsia" w:hAnsiTheme="minorEastAsia" w:eastAsiaTheme="minorEastAsia"/>
          <w:sz w:val="24"/>
          <w:szCs w:val="32"/>
        </w:rPr>
        <w:t>检测到。</w:t>
      </w:r>
    </w:p>
    <w:p w14:paraId="0F83D37E">
      <w:pPr>
        <w:adjustRightInd/>
        <w:snapToGrid/>
        <w:spacing w:line="288" w:lineRule="auto"/>
        <w:ind w:firstLine="2100" w:firstLineChars="1000"/>
        <w:jc w:val="right"/>
        <w:rPr>
          <w:sz w:val="22"/>
          <w:szCs w:val="28"/>
        </w:rPr>
      </w:pPr>
      <w:r>
        <w:drawing>
          <wp:inline distT="0" distB="0" distL="114300" distR="114300">
            <wp:extent cx="3649980" cy="128905"/>
            <wp:effectExtent l="19050" t="0" r="762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9980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1AD89">
      <w:pPr>
        <w:adjustRightInd/>
        <w:snapToGrid/>
        <w:spacing w:line="120" w:lineRule="auto"/>
        <w:ind w:firstLine="221"/>
        <w:rPr>
          <w:rFonts w:ascii="新宋体" w:hAnsi="新宋体" w:eastAsia="新宋体"/>
          <w:b/>
          <w:sz w:val="11"/>
          <w:szCs w:val="11"/>
          <w:u w:val="dotted"/>
        </w:rPr>
      </w:pPr>
      <w:r>
        <w:rPr>
          <w:rFonts w:hint="eastAsia" w:ascii="新宋体" w:hAnsi="新宋体" w:eastAsia="新宋体"/>
          <w:b/>
          <w:sz w:val="11"/>
          <w:szCs w:val="11"/>
          <w:u w:val="dotted"/>
        </w:rPr>
        <w:t xml:space="preserve">                                                                                                                                                    </w:t>
      </w:r>
    </w:p>
    <w:p w14:paraId="38F8381C">
      <w:pPr>
        <w:spacing w:line="240" w:lineRule="auto"/>
        <w:ind w:firstLine="40"/>
        <w:rPr>
          <w:rFonts w:ascii="新宋体" w:hAnsi="新宋体" w:eastAsia="新宋体"/>
          <w:b/>
          <w:sz w:val="2"/>
          <w:szCs w:val="2"/>
        </w:rPr>
      </w:pPr>
    </w:p>
    <w:p w14:paraId="6726D6D2">
      <w:pPr>
        <w:spacing w:line="360" w:lineRule="auto"/>
        <w:ind w:firstLine="482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1039495</wp:posOffset>
            </wp:positionV>
            <wp:extent cx="5217160" cy="1488440"/>
            <wp:effectExtent l="19050" t="0" r="2540" b="0"/>
            <wp:wrapSquare wrapText="bothSides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自身抗体的产生是自身免疫病的基本特征之一，因而，自身抗体的检测就成为大多数自身免疫病的血清学检测指标之一，自身抗体的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检测人群及检测特点应用如下：</w:t>
      </w:r>
    </w:p>
    <w:p w14:paraId="360BB7A1">
      <w:pPr>
        <w:ind w:firstLine="0" w:firstLineChars="0"/>
        <w:rPr>
          <w:b/>
        </w:rPr>
      </w:pPr>
      <w:r>
        <w:rPr>
          <w:rFonts w:hint="eastAsia"/>
          <w:b/>
        </w:rPr>
        <w:t>检测人群：</w:t>
      </w:r>
    </w:p>
    <w:p w14:paraId="4028D4A0">
      <w:pPr>
        <w:numPr>
          <w:ilvl w:val="0"/>
          <w:numId w:val="1"/>
        </w:numPr>
        <w:ind w:firstLine="0" w:firstLineChars="0"/>
      </w:pPr>
      <w:r>
        <w:rPr>
          <w:rFonts w:hint="eastAsia"/>
        </w:rPr>
        <w:t xml:space="preserve"> 白领族</w:t>
      </w:r>
    </w:p>
    <w:p w14:paraId="50142B79">
      <w:pPr>
        <w:numPr>
          <w:ilvl w:val="0"/>
          <w:numId w:val="1"/>
        </w:numPr>
        <w:ind w:firstLine="0" w:firstLineChars="0"/>
      </w:pPr>
      <w:r>
        <w:rPr>
          <w:rFonts w:hint="eastAsia"/>
        </w:rPr>
        <w:t xml:space="preserve"> 青春期和更年期的女性</w:t>
      </w:r>
    </w:p>
    <w:p w14:paraId="053665E9">
      <w:pPr>
        <w:numPr>
          <w:ilvl w:val="0"/>
          <w:numId w:val="1"/>
        </w:numPr>
        <w:ind w:firstLine="0" w:firstLineChars="0"/>
      </w:pPr>
      <w:r>
        <w:rPr>
          <w:rFonts w:hint="eastAsia"/>
        </w:rPr>
        <w:t xml:space="preserve"> 家族中有自身免疫性疾病患者的人群</w:t>
      </w:r>
    </w:p>
    <w:p w14:paraId="5B26B7FB">
      <w:pPr>
        <w:numPr>
          <w:ilvl w:val="0"/>
          <w:numId w:val="1"/>
        </w:numPr>
        <w:ind w:firstLine="0" w:firstLineChars="0"/>
      </w:pPr>
      <w:r>
        <w:rPr>
          <w:rFonts w:hint="eastAsia"/>
        </w:rPr>
        <w:t xml:space="preserve"> 吸烟人群</w:t>
      </w:r>
    </w:p>
    <w:p w14:paraId="35DD883B">
      <w:pPr>
        <w:numPr>
          <w:ilvl w:val="0"/>
          <w:numId w:val="2"/>
        </w:numPr>
        <w:ind w:firstLine="0" w:firstLineChars="0"/>
      </w:pPr>
      <w:r>
        <w:rPr>
          <w:rFonts w:hint="eastAsia"/>
        </w:rPr>
        <w:t xml:space="preserve"> 50岁以上的健康人群</w:t>
      </w:r>
    </w:p>
    <w:p w14:paraId="3C6603DA">
      <w:pPr>
        <w:spacing w:line="360" w:lineRule="auto"/>
        <w:ind w:firstLine="0" w:firstLineChars="0"/>
        <w:rPr>
          <w:b/>
        </w:rPr>
      </w:pPr>
      <w:r>
        <w:rPr>
          <w:rFonts w:hint="eastAsia"/>
          <w:b/>
        </w:rPr>
        <w:t>检测特点：</w:t>
      </w:r>
    </w:p>
    <w:p w14:paraId="6AD9C6CF">
      <w:pPr>
        <w:spacing w:line="360" w:lineRule="auto"/>
        <w:ind w:firstLine="0" w:firstLineChars="0"/>
      </w:pPr>
      <w:r>
        <w:rPr>
          <w:rFonts w:hint="eastAsia"/>
        </w:rPr>
        <w:t>1 . 发病人群广泛，一般女性多于男性（女性</w:t>
      </w:r>
      <w:r>
        <w:rPr>
          <w:rFonts w:hint="eastAsia"/>
          <w:sz w:val="24"/>
          <w:szCs w:val="32"/>
        </w:rPr>
        <w:t>29.70% &gt; 男性21.32%</w:t>
      </w:r>
      <w:r>
        <w:rPr>
          <w:rFonts w:hint="eastAsia"/>
        </w:rPr>
        <w:t>）。</w:t>
      </w:r>
    </w:p>
    <w:p w14:paraId="2DBDC19C">
      <w:pPr>
        <w:numPr>
          <w:ilvl w:val="0"/>
          <w:numId w:val="3"/>
        </w:numPr>
        <w:spacing w:line="360" w:lineRule="auto"/>
        <w:ind w:firstLine="0" w:firstLineChars="0"/>
      </w:pPr>
      <w:r>
        <w:rPr>
          <w:rFonts w:hint="eastAsia"/>
        </w:rPr>
        <w:t xml:space="preserve"> 病因不明，常呈自发性;临床表现复杂：不规则发热。</w:t>
      </w:r>
    </w:p>
    <w:p w14:paraId="52269C6C">
      <w:pPr>
        <w:numPr>
          <w:ilvl w:val="0"/>
          <w:numId w:val="3"/>
        </w:numPr>
        <w:spacing w:line="360" w:lineRule="auto"/>
        <w:ind w:firstLine="0" w:firstLineChars="0"/>
      </w:pPr>
      <w:r>
        <w:rPr>
          <w:rFonts w:hint="eastAsia"/>
        </w:rPr>
        <w:t xml:space="preserve"> 病程长，多迁延为慢性，病程中病情发展和缓解呈反复交替现象。</w:t>
      </w:r>
    </w:p>
    <w:p w14:paraId="0126B5DA">
      <w:pPr>
        <w:numPr>
          <w:ilvl w:val="0"/>
          <w:numId w:val="3"/>
        </w:numPr>
        <w:spacing w:line="360" w:lineRule="auto"/>
        <w:ind w:firstLine="0" w:firstLineChars="0"/>
      </w:pPr>
      <w:r>
        <w:rPr>
          <w:rFonts w:hint="eastAsia"/>
        </w:rPr>
        <w:t xml:space="preserve"> 血清中存在多种自身抗体。</w:t>
      </w:r>
    </w:p>
    <w:p w14:paraId="4D0254BD">
      <w:pPr>
        <w:numPr>
          <w:ilvl w:val="0"/>
          <w:numId w:val="3"/>
        </w:numPr>
        <w:spacing w:line="360" w:lineRule="auto"/>
        <w:ind w:firstLine="0" w:firstLineChars="0"/>
      </w:pPr>
      <w:r>
        <w:rPr>
          <w:rFonts w:hint="eastAsia"/>
        </w:rPr>
        <w:t xml:space="preserve"> 自身抗体入体检，早普查，早发现，早治疗，可以改善症状，减轻疾病进展，对于提高病人生存率，降低多脏器损伤，提高生活质量，降低不可逆的骨关节变化非常有必要。</w:t>
      </w:r>
      <w:bookmarkEnd w:id="0"/>
    </w:p>
    <w:p w14:paraId="04BE0708">
      <w:pPr>
        <w:ind w:leftChars="-202" w:hanging="424" w:hangingChars="202"/>
        <w:rPr>
          <w:rFonts w:hint="eastAsia"/>
        </w:rPr>
      </w:pPr>
    </w:p>
    <w:p w14:paraId="666EE3BF">
      <w:pPr>
        <w:ind w:leftChars="-202" w:hanging="424" w:hangingChars="202"/>
        <w:rPr>
          <w:rFonts w:hint="eastAsia"/>
        </w:rPr>
      </w:pPr>
    </w:p>
    <w:p w14:paraId="36BD9EF6">
      <w:pPr>
        <w:ind w:leftChars="-202" w:hanging="424" w:hangingChars="202"/>
      </w:pPr>
    </w:p>
    <w:p w14:paraId="43AC0DE9">
      <w:pPr/>
    </w:p>
    <w:p w14:paraId="5CD8A906">
      <w:pPr/>
    </w:p>
    <w:p w14:paraId="538E5B41">
      <w:pPr/>
    </w:p>
    <w:p w14:paraId="29F4BE00">
      <w:pPr/>
    </w:p>
    <w:p w14:paraId="79737415">
      <w:pPr>
        <w:ind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E93B1"/>
    <w:multiLevelType w:val="singleLevel"/>
    <w:tmpl w:val="B79E93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89E8AFF"/>
    <w:multiLevelType w:val="singleLevel"/>
    <w:tmpl w:val="E89E8AFF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71219460"/>
    <w:multiLevelType w:val="singleLevel"/>
    <w:tmpl w:val="7121946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400" w:lineRule="exact"/>
      <w:ind w:firstLine="420" w:firstLineChars="200"/>
      <w:jc w:val="both"/>
    </w:pPr>
    <w:rPr>
      <w:rFonts w:ascii="Times New Roman" w:hAnsi="Times New Roman" w:eastAsia="宋体" w:cs="Calibri"/>
      <w:color w:val="000000"/>
      <w:kern w:val="2"/>
      <w:sz w:val="21"/>
      <w:szCs w:val="21"/>
      <w:u w:color="00000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360" w:line="240" w:lineRule="auto"/>
      <w:ind w:firstLine="0" w:firstLineChars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2"/>
    <w:basedOn w:val="2"/>
    <w:next w:val="1"/>
    <w:qFormat/>
    <w:uiPriority w:val="0"/>
    <w:pPr>
      <w:spacing w:after="120" w:line="400" w:lineRule="exact"/>
      <w:outlineLvl w:val="1"/>
    </w:pPr>
    <w:rPr>
      <w:sz w:val="28"/>
      <w:szCs w:val="24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ind w:firstLine="0" w:firstLineChars="0"/>
      <w:jc w:val="left"/>
      <w:outlineLvl w:val="2"/>
    </w:pPr>
    <w:rPr>
      <w:rFonts w:eastAsia="黑体"/>
      <w:b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uiPriority w:val="0"/>
    <w:pPr>
      <w:spacing w:line="240" w:lineRule="auto"/>
    </w:pPr>
    <w:rPr>
      <w:sz w:val="18"/>
      <w:szCs w:val="18"/>
    </w:r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eastAsia="微软雅黑" w:asciiTheme="minorHAnsi" w:hAnsiTheme="minorHAnsi" w:cstheme="minorBidi"/>
      <w:b/>
      <w:bCs/>
      <w:kern w:val="28"/>
      <w:sz w:val="18"/>
      <w:szCs w:val="32"/>
    </w:rPr>
  </w:style>
  <w:style w:type="table" w:customStyle="1" w:styleId="9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无"/>
    <w:qFormat/>
    <w:uiPriority w:val="0"/>
  </w:style>
  <w:style w:type="paragraph" w:customStyle="1" w:styleId="11">
    <w:name w:val="_Style 3"/>
    <w:basedOn w:val="1"/>
    <w:qFormat/>
    <w:uiPriority w:val="34"/>
    <w:rPr>
      <w:rFonts w:cs="Times New Roman"/>
      <w:color w:val="auto"/>
      <w:szCs w:val="24"/>
    </w:rPr>
  </w:style>
  <w:style w:type="paragraph" w:customStyle="1" w:styleId="12">
    <w:name w:val="_Style 4"/>
    <w:basedOn w:val="1"/>
    <w:qFormat/>
    <w:uiPriority w:val="34"/>
    <w:rPr>
      <w:rFonts w:cs="Times New Roman"/>
      <w:szCs w:val="24"/>
    </w:rPr>
  </w:style>
  <w:style w:type="character" w:customStyle="1" w:styleId="13">
    <w:name w:val="批注框文本 Char"/>
    <w:basedOn w:val="7"/>
    <w:link w:val="5"/>
    <w:uiPriority w:val="0"/>
    <w:rPr>
      <w:rFonts w:ascii="Times New Roman" w:hAnsi="Times New Roman" w:eastAsia="宋体" w:cs="Calibri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1528</Words>
  <Characters>8714</Characters>
  <Lines>72</Lines>
  <Paragraphs>20</Paragraphs>
  <TotalTime>0</TotalTime>
  <ScaleCrop>false</ScaleCrop>
  <LinksUpToDate>false</LinksUpToDate>
  <CharactersWithSpaces>10222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2025-04-27T20:27:00Z</dcterms:created>
  <dc:creator>HP</dc:creator>
  <cp:lastModifiedBy>iPhone</cp:lastModifiedBy>
  <dcterms:modified xsi:type="dcterms:W3CDTF">2025-05-14T10:19:13Z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2052-12.23.1</vt:lpwstr>
  </property>
  <property fmtid="{D5CDD505-2E9C-101B-9397-08002B2CF9AE}" pid="3" name="KSOTemplateDocerSaveRecord">
    <vt:lpwstr>eyJoZGlkIjoiNWMxNTNiYjY1OGI3NTYxNGUwNWYyZGNhMzIyYTBiMDkiLCJ1c2VySWQiOiI0MjcxMjU4MDgifQ==</vt:lpwstr>
  </property>
  <property fmtid="{D5CDD505-2E9C-101B-9397-08002B2CF9AE}" pid="4" name="ICV">
    <vt:lpwstr>19609FC38CE04185B72E630368177ECD_12</vt:lpwstr>
  </property>
</Properties>
</file>